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spacing w:beforeLines="150" w:after="312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Toc427331740"/>
      <w:bookmarkStart w:id="1" w:name="_Toc424627131"/>
      <w:bookmarkStart w:id="2" w:name="_Toc424807643"/>
      <w:bookmarkStart w:id="3" w:name="_Toc426376267"/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住宅物业三星级服务</w:t>
      </w:r>
      <w:bookmarkEnd w:id="0"/>
      <w:bookmarkEnd w:id="1"/>
      <w:bookmarkEnd w:id="2"/>
      <w:bookmarkEnd w:id="3"/>
    </w:p>
    <w:p>
      <w:pPr>
        <w:pStyle w:val="22"/>
        <w:spacing w:before="156" w:after="156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bookmarkStart w:id="4" w:name="_Toc427331741"/>
      <w:bookmarkStart w:id="5" w:name="_Toc426376268"/>
      <w:bookmarkStart w:id="6" w:name="_Toc424807644"/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综合服务</w:t>
      </w:r>
      <w:bookmarkEnd w:id="4"/>
      <w:bookmarkEnd w:id="5"/>
      <w:bookmarkEnd w:id="6"/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应符合表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A.13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的规定。</w:t>
      </w:r>
    </w:p>
    <w:p>
      <w:pPr>
        <w:pStyle w:val="23"/>
        <w:spacing w:before="156" w:after="156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综合服务内容及要求</w:t>
      </w:r>
    </w:p>
    <w:tbl>
      <w:tblPr>
        <w:tblStyle w:val="6"/>
        <w:tblW w:w="93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80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8082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内容及要求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客户服务</w:t>
            </w:r>
          </w:p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场所</w:t>
            </w:r>
          </w:p>
        </w:tc>
        <w:tc>
          <w:tcPr>
            <w:tcW w:w="8082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1、有客户服务中心，至少应配置有办公桌、椅、饮水机、电脑、打印机、复印机、网络、电话。</w:t>
            </w:r>
          </w:p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客服中心门口挂有学雷锋志愿服务站牌及人员信息，有学雷锋志愿服务制度、物业服务企业营业执照、项目主要服务人员岗位信息，行业规范、物业服务事项、收费项目、收费标准等相关信息上墙公示，行业规范公示牌里有社会主义核心价值观等内容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3、物业服务企业营业执照、项目主要服务人员岗位信息，物业服务事项、收费项目、收费标准等相关信息上墙公示。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4、客户服务中心每日工作时间不少于10小时，其它时间物业管理区域内有值班人员。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5、公示有24小时服务电话。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</w:tc>
        <w:tc>
          <w:tcPr>
            <w:tcW w:w="8082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1、专业操作人员按照相关规定取得职业资格证书。</w:t>
            </w:r>
          </w:p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2、实行项目经理责任制，一个物业管理区域配备1名项目经理,项目经理应取得物业服务项目经理证书。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3、从业人员统一着装，佩戴标志，规范服务，语言文明，主动、热情。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4、人员配置标准：2500-3000m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制度</w:t>
            </w:r>
          </w:p>
        </w:tc>
        <w:tc>
          <w:tcPr>
            <w:tcW w:w="8082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1、有共用部位及共用设施设备维修养护、消防安全防范、绿化养护、环境卫生、公共秩序维护等管理制度。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2、有突发公共事件应急预案。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3、有培训、考核制度。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4、有物业服务工作记录。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档案</w:t>
            </w:r>
          </w:p>
        </w:tc>
        <w:tc>
          <w:tcPr>
            <w:tcW w:w="8082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1、有物业服务档案管理制度，有电梯、消防等设施设备承接查验、运行、维修、养护档案资料。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2、档案资料管理规范、齐全、整洁、查阅方便。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3、有档案管理人员，并设置有档案资料室。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4、应用计算机管理基本信息、基础资料、维修养护资料、收费资料等。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标识</w:t>
            </w:r>
          </w:p>
        </w:tc>
        <w:tc>
          <w:tcPr>
            <w:tcW w:w="8082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1、重点部位按相关要求设置有安全警示标识、消防标识、导向标识、指示标识及其它标识。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2、房屋楼栋号、房号及公共配套设施</w:t>
            </w:r>
            <w:bookmarkStart w:id="7" w:name="OLE_LINK4"/>
            <w:bookmarkStart w:id="8" w:name="OLE_LINK5"/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、设备</w:t>
            </w:r>
            <w:bookmarkEnd w:id="7"/>
            <w:bookmarkEnd w:id="8"/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标识清晰、明显。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3、有企业专属标识，企业标识应用规范、统一。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4、有倡导文明、环保、健康生活的温馨提示标识。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客户服务</w:t>
            </w:r>
          </w:p>
        </w:tc>
        <w:tc>
          <w:tcPr>
            <w:tcW w:w="8082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1、业主办理入住手续时，双方签订规范的物业服务合同，合同权利义务关系明确。</w:t>
            </w:r>
          </w:p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2、报修按双方约定时间到达现场，有报修、维修记录，急修20分钟内到现场处理，一般修理3日内完成（预约除外）。维修完毕后2个工作日内进行结果反馈，特殊维修情况另行安排反馈时间。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bookmarkStart w:id="9" w:name="OLE_LINK1"/>
            <w:bookmarkStart w:id="10" w:name="OLE_LINK3"/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3、重要物业服务事项应在主要出入口、各楼单元门内以书面形式履行告知义务。</w:t>
            </w:r>
          </w:p>
          <w:bookmarkEnd w:id="9"/>
          <w:bookmarkEnd w:id="10"/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4、业主或物业使用人提出的意见、建议、投诉在2个工作日内回复，投诉回访率不低于80%。</w:t>
            </w:r>
          </w:p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5、每年至少1次征询业主对物业服务的意见，满意率不低于85%，对不满意事项进行分析、整改，处理率达90%以上。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6、每年至少公开一次物业管理服务费用收支情况。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综合经营</w:t>
            </w:r>
          </w:p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</w:tc>
        <w:tc>
          <w:tcPr>
            <w:tcW w:w="8082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1、物业服务企业为满足部分业主或物业使用人的需求，可根据住宅小区的实际条件及其自身的能力，经双方特别约定，可提供但不限于以下服务活动：</w:t>
            </w:r>
          </w:p>
          <w:p>
            <w:pPr>
              <w:pStyle w:val="16"/>
              <w:numPr>
                <w:ilvl w:val="0"/>
                <w:numId w:val="0"/>
              </w:numPr>
              <w:ind w:left="811" w:leftChars="172" w:hanging="450" w:hangingChars="2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（1）生活服务类：餐饮、干洗、美容美发、洗车、打字、复印、代购火车票、飞机票，代订鲜花，水、电、燃气、网络开通办理手续及费用代缴等便民服务。</w:t>
            </w:r>
          </w:p>
          <w:p>
            <w:pPr>
              <w:pStyle w:val="16"/>
              <w:numPr>
                <w:ilvl w:val="0"/>
                <w:numId w:val="0"/>
              </w:numPr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（2）文化教育类：书刊、杂志、老年人/儿童活动中心等。</w:t>
            </w:r>
          </w:p>
          <w:p>
            <w:pPr>
              <w:pStyle w:val="16"/>
              <w:numPr>
                <w:ilvl w:val="0"/>
                <w:numId w:val="0"/>
              </w:numPr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（3）维修服务类：家庭安装、维修服务。</w:t>
            </w:r>
          </w:p>
          <w:p>
            <w:pPr>
              <w:pStyle w:val="16"/>
              <w:numPr>
                <w:ilvl w:val="0"/>
                <w:numId w:val="0"/>
              </w:numPr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（4）家政服务类：家庭居室清洁与美化、洗涤衣物等。</w:t>
            </w:r>
          </w:p>
          <w:p>
            <w:pPr>
              <w:pStyle w:val="16"/>
              <w:numPr>
                <w:ilvl w:val="0"/>
                <w:numId w:val="0"/>
              </w:numPr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（5）房地产中介代理类：房地产咨询、中介服务；代理房屋买卖、租赁。</w:t>
            </w:r>
          </w:p>
          <w:p>
            <w:pPr>
              <w:pStyle w:val="16"/>
              <w:numPr>
                <w:ilvl w:val="0"/>
                <w:numId w:val="0"/>
              </w:numPr>
              <w:ind w:left="407" w:hanging="406" w:hangingChars="226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2、提供有偿性的专项委托服务应公示服务内容与收费标准。</w:t>
            </w:r>
          </w:p>
        </w:tc>
      </w:tr>
    </w:tbl>
    <w:p>
      <w:pPr>
        <w:pStyle w:val="22"/>
        <w:spacing w:before="156" w:afterLines="25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bookmarkStart w:id="11" w:name="_Toc424807645"/>
      <w:bookmarkStart w:id="12" w:name="_Toc427331742"/>
      <w:bookmarkStart w:id="13" w:name="_Toc426376269"/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房屋及配套设施设备的维护与管理</w:t>
      </w:r>
    </w:p>
    <w:bookmarkEnd w:id="11"/>
    <w:bookmarkEnd w:id="12"/>
    <w:bookmarkEnd w:id="13"/>
    <w:p>
      <w:pPr>
        <w:adjustRightInd w:val="0"/>
        <w:snapToGrid w:val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应符合表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A.14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的规定。</w:t>
      </w:r>
    </w:p>
    <w:p>
      <w:pPr>
        <w:adjustRightInd w:val="0"/>
        <w:snapToGrid w:val="0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3"/>
        <w:spacing w:beforeLines="25" w:after="15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房屋及配套设施设备的维护与管理内容及要求</w:t>
      </w:r>
    </w:p>
    <w:tbl>
      <w:tblPr>
        <w:tblStyle w:val="6"/>
        <w:tblW w:w="934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605"/>
        <w:gridCol w:w="80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8088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内容及要求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9" w:hRule="atLeast"/>
          <w:jc w:val="center"/>
        </w:trPr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综合管理</w:t>
            </w:r>
          </w:p>
        </w:tc>
        <w:tc>
          <w:tcPr>
            <w:tcW w:w="8088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1、承接验收时，对房屋、共用部位、共用设施设备进行认真查验，验收手续齐全。</w:t>
            </w:r>
          </w:p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2、制定房屋管理规定、房屋及配套设施设备维修养护制度、小区巡检制度、房屋装饰装修管理办法等规章制度。</w:t>
            </w:r>
          </w:p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3、房屋、共用部位检查中发现的问题，应按照责任范围编制修缮计划，并按计划组织修缮；共用设施设备运行中出现的故障及检查中发现的问题，应及时组织修复。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4、按国家相关规定规范使用房屋专项维修资金。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5、有年度、月度维修养护计划。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6、特种设备按有关规定运行、维修养护和定期检测。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7、雷电、强降水、大风等极端天气前后进行检查并采取防范措施。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8、设备机房：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（1）每月清洁1次，机房整洁有序，室内无杂物。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（2）锁具完好。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（3）设有挡鼠板、鼠药盒或粘鼠板。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（4）设施设备标识、标牌齐全。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（5）张贴或悬挂相关制度、证书。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（6）配备有消防器材，确保完好有效。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（7）记录齐全、完整。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9、运行、检查、维修养护记录应每月归档。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1" w:hRule="atLeast"/>
          <w:jc w:val="center"/>
        </w:trPr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共用部位</w:t>
            </w:r>
          </w:p>
        </w:tc>
        <w:tc>
          <w:tcPr>
            <w:tcW w:w="8088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1、房屋结构</w:t>
            </w:r>
          </w:p>
          <w:p>
            <w:pPr>
              <w:pStyle w:val="15"/>
              <w:numPr>
                <w:ilvl w:val="0"/>
                <w:numId w:val="0"/>
              </w:numPr>
              <w:ind w:firstLine="360" w:firstLineChars="200"/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每季度巡视1 次梁、板、柱等结构构件，外观出现变形、开裂等现象时，应申请房屋安全鉴定，同时采取必要的防护措施，按照鉴定结果组织修缮。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2、建筑部件</w:t>
            </w:r>
          </w:p>
          <w:p>
            <w:pPr>
              <w:pStyle w:val="15"/>
              <w:numPr>
                <w:ilvl w:val="0"/>
                <w:numId w:val="0"/>
              </w:numPr>
              <w:ind w:firstLine="360" w:firstLineChars="200"/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（1）每月检查1 次外墙贴饰面或抹灰、屋檐、阳台、空调室外机支撑构件等。</w:t>
            </w:r>
          </w:p>
          <w:p>
            <w:pPr>
              <w:pStyle w:val="15"/>
              <w:numPr>
                <w:ilvl w:val="0"/>
                <w:numId w:val="0"/>
              </w:numPr>
              <w:ind w:firstLine="360" w:firstLineChars="200"/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（2）每月巡查1 次共用部位的门、窗、玻璃等。</w:t>
            </w:r>
          </w:p>
          <w:p>
            <w:pPr>
              <w:pStyle w:val="15"/>
              <w:numPr>
                <w:ilvl w:val="0"/>
                <w:numId w:val="0"/>
              </w:numPr>
              <w:ind w:firstLine="360" w:firstLineChars="200"/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（3）每月检查1 次共用部位的室内地面、墙面、顶棚，室外屋面、散水等。</w:t>
            </w:r>
          </w:p>
          <w:p>
            <w:pPr>
              <w:pStyle w:val="15"/>
              <w:numPr>
                <w:ilvl w:val="0"/>
                <w:numId w:val="0"/>
              </w:numPr>
              <w:ind w:firstLine="360" w:firstLineChars="200"/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（4）每年汛前和强降雨后检查屋面防水和雨落管等。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3、附属构筑物</w:t>
            </w:r>
          </w:p>
          <w:p>
            <w:pPr>
              <w:pStyle w:val="15"/>
              <w:numPr>
                <w:ilvl w:val="0"/>
                <w:numId w:val="0"/>
              </w:numPr>
              <w:ind w:firstLine="360" w:firstLineChars="200"/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（1）每月巡查1 次道路、场地、阶梯及扶手、管井、沟渠等。</w:t>
            </w:r>
          </w:p>
          <w:p>
            <w:pPr>
              <w:pStyle w:val="15"/>
              <w:numPr>
                <w:ilvl w:val="0"/>
                <w:numId w:val="0"/>
              </w:numPr>
              <w:ind w:firstLine="360" w:firstLineChars="200"/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（2）每月检查1 次雨、污水管井等。</w:t>
            </w:r>
          </w:p>
          <w:p>
            <w:pPr>
              <w:pStyle w:val="15"/>
              <w:numPr>
                <w:ilvl w:val="0"/>
                <w:numId w:val="0"/>
              </w:numPr>
              <w:ind w:firstLine="360" w:firstLineChars="200"/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（3）每月巡查1 次大门、围墙、围栏等。</w:t>
            </w:r>
          </w:p>
          <w:p>
            <w:pPr>
              <w:pStyle w:val="15"/>
              <w:numPr>
                <w:ilvl w:val="0"/>
                <w:numId w:val="0"/>
              </w:numPr>
              <w:ind w:firstLine="360" w:firstLineChars="200"/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（4）每月巡查1 次休闲椅、凉亭、雕塑、景观小品等。</w:t>
            </w:r>
          </w:p>
          <w:p>
            <w:pPr>
              <w:pStyle w:val="15"/>
              <w:numPr>
                <w:ilvl w:val="0"/>
                <w:numId w:val="0"/>
              </w:numPr>
              <w:ind w:firstLine="360" w:firstLineChars="200"/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（5）每年检测1 次防雷装置。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共用设施设备</w:t>
            </w:r>
          </w:p>
        </w:tc>
        <w:tc>
          <w:tcPr>
            <w:tcW w:w="605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供水</w:t>
            </w:r>
          </w:p>
          <w:p>
            <w:pPr>
              <w:pStyle w:val="15"/>
              <w:numPr>
                <w:ilvl w:val="0"/>
                <w:numId w:val="0"/>
              </w:num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系统</w:t>
            </w:r>
          </w:p>
        </w:tc>
        <w:tc>
          <w:tcPr>
            <w:tcW w:w="8088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ind w:left="180" w:hanging="180" w:hangingChars="1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1、每年应对二次供水设施清洗消毒至少1次，水质符合GB5749的要求。清洗时穿戴好工作衣、长靴、橡胶手套及清扫专用工具，工具必须清洗、消毒带入箱内。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2、每日巡视1次水泵房、水箱间，检查设备运行情况。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3、每月巡视1次水表、水管等供水设施设备，发现跑冒滴漏现象及时解决。</w:t>
            </w:r>
          </w:p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4、定期对供水管道、阀门等进行除锈、刷漆处理，每年冬季前对暴露管道、水表等设施设备进行防冻处理，确保供水的安全性。</w:t>
            </w:r>
          </w:p>
        </w:tc>
      </w:tr>
    </w:tbl>
    <w:p>
      <w:pPr>
        <w:spacing w:beforeLines="50" w:afterLines="5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  <w:t>表A.14（续）</w:t>
      </w:r>
    </w:p>
    <w:tbl>
      <w:tblPr>
        <w:tblStyle w:val="6"/>
        <w:tblW w:w="93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602"/>
        <w:gridCol w:w="80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809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内容及要求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663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共用设施设备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排水</w:t>
            </w:r>
          </w:p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系统</w:t>
            </w:r>
          </w:p>
        </w:tc>
        <w:tc>
          <w:tcPr>
            <w:tcW w:w="8099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1、有防汛预案，配备有防汛物资。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2、排水设施：每年汛前对雨、污水井、屋面及露台雨水口等设施进行检查，组织清理、疏通。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left="412" w:hanging="412" w:hangingChars="229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3、化粪池：每年清掏1次，发现异常及时清掏。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  <w:jc w:val="center"/>
        </w:trPr>
        <w:tc>
          <w:tcPr>
            <w:tcW w:w="663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供配电系统及照明</w:t>
            </w:r>
          </w:p>
        </w:tc>
        <w:tc>
          <w:tcPr>
            <w:tcW w:w="8099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1、楼内照明：每周巡视1 次，一般故障1 日内修复；复杂故障1 周内修复。</w:t>
            </w:r>
          </w:p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2、楼外照明：每周巡视1 次，一般故障3 日内修复；复杂故障1周内修复；根据季节变化规律，适时调整照明时间。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3、应急照明：每周巡视1 次，发现故障，8小时内组织维修。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4、路灯、楼道灯完好率应不低于85%。</w:t>
            </w:r>
          </w:p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5、低压配电箱和线路：每月检查1 次设备运行状况；每年养护1 次，养护内容包括紧固、检测、清扫。</w:t>
            </w:r>
          </w:p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6、控制柜：每季度检查1 次设备运行状况；每年养护1 次，养护内容包括紧固、检测、调试、清扫。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7、发电机：每季度试运行1 次，保证运行正常。 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8、配电室、楼层电井：有门、孔、洞、窗等处的防鼠措施完备；穿墙线槽周边封堵严密；锁具完好；进出线和开关标识准确。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8" w:hRule="atLeast"/>
          <w:jc w:val="center"/>
        </w:trPr>
        <w:tc>
          <w:tcPr>
            <w:tcW w:w="663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安全防范系统</w:t>
            </w:r>
          </w:p>
        </w:tc>
        <w:tc>
          <w:tcPr>
            <w:tcW w:w="8099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1、物防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（1）外露管道等易攀爬处有防盗设施，如：防爬刺、带钩铁丝或抹黄油等。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（2）应安装单元防盗安全门。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（3）设置非机动车集中停放点，有序停放。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（4）物业区域内路灯、楼道灯等夜间照明设施齐全，使用正常。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（5）落实专人对各类物防设施每个月开展1次全面检查，及时排除安全隐患。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2、技防</w:t>
            </w:r>
          </w:p>
          <w:p>
            <w:pPr>
              <w:pStyle w:val="26"/>
              <w:numPr>
                <w:ilvl w:val="0"/>
                <w:numId w:val="0"/>
              </w:numPr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（1）监控系统</w:t>
            </w:r>
          </w:p>
          <w:p>
            <w:pPr>
              <w:pStyle w:val="16"/>
              <w:numPr>
                <w:ilvl w:val="0"/>
                <w:numId w:val="0"/>
              </w:numPr>
              <w:ind w:left="833" w:leftChars="332" w:hanging="136" w:hangingChars="76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a.监控中心有严格管理制度和设备维修养护制度；</w:t>
            </w:r>
          </w:p>
          <w:p>
            <w:pPr>
              <w:pStyle w:val="16"/>
              <w:numPr>
                <w:ilvl w:val="0"/>
                <w:numId w:val="0"/>
              </w:numPr>
              <w:ind w:left="833" w:leftChars="332" w:hanging="136" w:hangingChars="76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b.设备设施24小时运转正常，实现对管理区域的有效监控，画面齐全、清晰；</w:t>
            </w:r>
          </w:p>
          <w:p>
            <w:pPr>
              <w:pStyle w:val="16"/>
              <w:numPr>
                <w:ilvl w:val="0"/>
                <w:numId w:val="0"/>
              </w:numPr>
              <w:ind w:left="831" w:leftChars="331" w:hanging="136" w:hangingChars="76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c.报警控制管理主机：每日检查1次，保障设备运行正常；</w:t>
            </w:r>
          </w:p>
          <w:p>
            <w:pPr>
              <w:pStyle w:val="16"/>
              <w:numPr>
                <w:ilvl w:val="0"/>
                <w:numId w:val="0"/>
              </w:numPr>
              <w:ind w:left="1011" w:leftChars="331" w:hanging="316" w:hangingChars="176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d.图像采集设备：每周检查1次监视画面效果、录像、图像保存等功能，保障设备运行正常；</w:t>
            </w:r>
          </w:p>
          <w:p>
            <w:pPr>
              <w:pStyle w:val="16"/>
              <w:numPr>
                <w:ilvl w:val="0"/>
                <w:numId w:val="0"/>
              </w:numPr>
              <w:ind w:left="965" w:leftChars="331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e.摄像头：每月检查1次聚焦、清晰度、红外夜视、遮挡物、镜头清洁等情况，进行相应调校。</w:t>
            </w:r>
          </w:p>
          <w:p>
            <w:pPr>
              <w:pStyle w:val="16"/>
              <w:numPr>
                <w:ilvl w:val="0"/>
                <w:numId w:val="0"/>
              </w:numPr>
              <w:ind w:left="831" w:leftChars="331" w:hanging="136" w:hangingChars="76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f.按设备随机使用说明书的要求对硬盘录像机、摄像机等设备进行检修保养。</w:t>
            </w:r>
          </w:p>
          <w:p>
            <w:pPr>
              <w:pStyle w:val="26"/>
              <w:numPr>
                <w:ilvl w:val="0"/>
                <w:numId w:val="0"/>
              </w:numPr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（2）门禁系统</w:t>
            </w:r>
          </w:p>
          <w:p>
            <w:pPr>
              <w:pStyle w:val="16"/>
              <w:numPr>
                <w:ilvl w:val="0"/>
                <w:numId w:val="0"/>
              </w:numPr>
              <w:tabs>
                <w:tab w:val="left" w:pos="707"/>
              </w:tabs>
              <w:ind w:left="833" w:leftChars="332" w:hanging="136" w:hangingChars="76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a.每周巡视1次，保证系统工作正常；</w:t>
            </w:r>
          </w:p>
          <w:p>
            <w:pPr>
              <w:pStyle w:val="16"/>
              <w:numPr>
                <w:ilvl w:val="0"/>
                <w:numId w:val="0"/>
              </w:numPr>
              <w:tabs>
                <w:tab w:val="left" w:pos="707"/>
              </w:tabs>
              <w:ind w:left="877" w:leftChars="332" w:hanging="180" w:hangingChars="1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b.楼宇对讲设备检查保养每月1次，每周检查1次按键、显示屏、通话等功能状况，保障设备运行正常；</w:t>
            </w:r>
          </w:p>
          <w:p>
            <w:pPr>
              <w:pStyle w:val="16"/>
              <w:numPr>
                <w:ilvl w:val="0"/>
                <w:numId w:val="0"/>
              </w:numPr>
              <w:tabs>
                <w:tab w:val="left" w:pos="707"/>
              </w:tabs>
              <w:ind w:left="833" w:leftChars="332" w:hanging="136" w:hangingChars="76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c.一般性故障1日内修复；较为复杂的故障1周内修复。</w:t>
            </w:r>
          </w:p>
          <w:p>
            <w:pPr>
              <w:pStyle w:val="26"/>
              <w:numPr>
                <w:ilvl w:val="0"/>
                <w:numId w:val="0"/>
              </w:numPr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（3）电子巡更系统</w:t>
            </w:r>
          </w:p>
          <w:p>
            <w:pPr>
              <w:pStyle w:val="16"/>
              <w:numPr>
                <w:ilvl w:val="0"/>
                <w:numId w:val="0"/>
              </w:numPr>
              <w:ind w:left="833" w:leftChars="332" w:hanging="136" w:hangingChars="76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a.调试保养每季1次，保证正常运行；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left="609" w:leftChars="290" w:firstLine="90" w:firstLineChars="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b.每月检查1次外观，发现故障隐患，即时排除；每周表面清洁1次；每日存储巡更记录；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left="907" w:leftChars="332" w:hanging="210" w:hangingChars="1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c.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保持巡更时间、地点、人员和数据的显示、归档、查询及打印功能正常，巡更违规记录提示功能正常。 </w:t>
            </w:r>
          </w:p>
        </w:tc>
      </w:tr>
    </w:tbl>
    <w:p>
      <w:pPr>
        <w:adjustRightInd w:val="0"/>
        <w:snapToGrid w:val="0"/>
        <w:spacing w:afterLines="50"/>
        <w:jc w:val="center"/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  <w:t>表A.14（续）</w:t>
      </w:r>
    </w:p>
    <w:tbl>
      <w:tblPr>
        <w:tblStyle w:val="6"/>
        <w:tblW w:w="93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602"/>
        <w:gridCol w:w="80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8087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内容及要求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1" w:hRule="atLeast"/>
          <w:jc w:val="center"/>
        </w:trPr>
        <w:tc>
          <w:tcPr>
            <w:tcW w:w="663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共用设施设备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安全防范系统</w:t>
            </w:r>
          </w:p>
        </w:tc>
        <w:tc>
          <w:tcPr>
            <w:tcW w:w="8087" w:type="dxa"/>
            <w:vAlign w:val="center"/>
          </w:tcPr>
          <w:p>
            <w:pPr>
              <w:pStyle w:val="26"/>
              <w:numPr>
                <w:ilvl w:val="0"/>
                <w:numId w:val="0"/>
              </w:numPr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（4）周界防范系统</w:t>
            </w:r>
          </w:p>
          <w:p>
            <w:pPr>
              <w:pStyle w:val="16"/>
              <w:numPr>
                <w:ilvl w:val="0"/>
                <w:numId w:val="0"/>
              </w:numPr>
              <w:ind w:firstLine="720" w:firstLineChars="4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a.主机除尘，压线端子牢固，每月对射探头牢固性检查1次；</w:t>
            </w:r>
          </w:p>
          <w:p>
            <w:pPr>
              <w:pStyle w:val="16"/>
              <w:numPr>
                <w:ilvl w:val="0"/>
                <w:numId w:val="0"/>
              </w:numPr>
              <w:ind w:firstLine="720" w:firstLineChars="4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b.红外对射探测器每天测试1次运行状态，保障设备正常运行；</w:t>
            </w:r>
          </w:p>
          <w:p>
            <w:pPr>
              <w:pStyle w:val="16"/>
              <w:numPr>
                <w:ilvl w:val="0"/>
                <w:numId w:val="0"/>
              </w:numPr>
              <w:ind w:left="902" w:leftChars="344" w:hanging="180" w:hangingChars="1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c.报警系统有效性测试每周2次，中心报警控制管理主机能准确显示报警或故障发生的信息，并同时发出声光报警信号；</w:t>
            </w:r>
          </w:p>
          <w:p>
            <w:pPr>
              <w:pStyle w:val="16"/>
              <w:numPr>
                <w:ilvl w:val="0"/>
                <w:numId w:val="0"/>
              </w:numPr>
              <w:ind w:firstLine="720" w:firstLineChars="4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d.系统发生故障，一般性故障1日内修复；较为复杂的故障1周内修复。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left="409" w:leftChars="172" w:hanging="48" w:hangingChars="27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（5）技防设施设备出现运行不正常和损坏问题，应立即进行维修。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3、消防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（1）有消防安全责任制，明确各级岗位的消防安全职责。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（2）消防设施设备完好，可随时启用；保持消防通道畅通。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left="811" w:leftChars="172" w:hanging="450" w:hangingChars="2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（3）在出入口、电梯口等醒目位置有提示火灾危险性、安全逃生路线、安全出口、消防设施器材使用方法的明显标志和警示标语。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left="811" w:leftChars="172" w:hanging="450" w:hangingChars="2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（4）有灭火和应急疏散预案。有义务消防队，配备必要的消防器材，相关人员掌握消防基本知识和技能；每年至少组织1次有员工、业主或使用人参加的消防演练。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left="811" w:leftChars="172" w:hanging="450" w:hangingChars="2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（5）有消防安全管理制度，每年对员工进行至少2次消防安全培训。每年对业主至少有1次消防安全宣传教育，可采用宣传栏、横幅、讲座等形式。 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（6）消防控制室24小时值班，及时处理各类报警、故障信息。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（7）每月对消防泵、消防喷淋系统、防排烟系统、火灾报警装置等进行1次检查或试验。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left="811" w:leftChars="172" w:hanging="450" w:hangingChars="2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（8）发现消防安全违法行为和火灾隐患，立即纠正、排除；无法立即纠正、排除的，应向公安机关消防机构报告。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（9）发生火情立即报警，组织扑救初起火灾，疏散遇险人员，协助配合公安机关消防机构工作。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2" w:hRule="atLeast"/>
          <w:jc w:val="center"/>
        </w:trPr>
        <w:tc>
          <w:tcPr>
            <w:tcW w:w="663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电梯</w:t>
            </w:r>
          </w:p>
        </w:tc>
        <w:tc>
          <w:tcPr>
            <w:tcW w:w="8087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1、电梯24小时正常运行。</w:t>
            </w:r>
          </w:p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2、轿厢内按钮、照明灯具等配件保持完好，轿厢内整洁, 电梯轿厢内可视监控装置、语音提示广播等设施正常运行。</w:t>
            </w:r>
          </w:p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电梯每年进行1次定期检验，在电梯轿厢内或者出入口的明显位置张贴有效的电梯检验标志；在电梯轿厢内显著位置张贴电梯使用的安全注意事项和警示标志、使用管理单位名称和维保单位名称及其急修、救援、投诉电话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4、有电梯使用安全管理制度。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5、电梯紧急报警装置能随时与值班人员取得有效联系。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6、日常维护保养和定期检查中发现的问题应及时组织排除。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7、配备至少1名电梯安全管理专员，每日检查1次电梯安全状况。</w:t>
            </w:r>
          </w:p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8、与有相应有效资质的电梯维保单位签订电梯维保合同，根据</w:t>
            </w: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TSG T5001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规定，明确维护保养的内容、要求、频次、期限以及双方的权利、义务与责任。</w:t>
            </w:r>
          </w:p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、有电梯突发事件或者事故的应急措施与救援预案，并每年演练1次。发生电梯困人时应及时采取措施。物业服务人员应在20分钟内到达现场，城区范围内专业维修人员应在30分钟内到达现场，其它地区在60分钟内到达现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663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水景</w:t>
            </w:r>
          </w:p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及游乐设施</w:t>
            </w:r>
          </w:p>
        </w:tc>
        <w:tc>
          <w:tcPr>
            <w:tcW w:w="8087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1、启用前进行防渗漏和防漏电检查，防止渗漏，保证用电安全。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2、使用期间每周巡查1次喷水池、水泵及其附属设施，每周检查1 次防漏电设施。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3、每日巡查1次游乐设施，确保无安全隐患。</w:t>
            </w:r>
          </w:p>
          <w:p>
            <w:pPr>
              <w:pStyle w:val="15"/>
              <w:numPr>
                <w:ilvl w:val="0"/>
                <w:numId w:val="0"/>
              </w:numPr>
              <w:ind w:left="418" w:hanging="417" w:hangingChars="232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4、有安全防护措施、警示标识。</w:t>
            </w:r>
          </w:p>
          <w:p>
            <w:pPr>
              <w:pStyle w:val="15"/>
              <w:numPr>
                <w:ilvl w:val="0"/>
                <w:numId w:val="0"/>
              </w:numPr>
              <w:ind w:left="418" w:hanging="417" w:hangingChars="232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5、游泳池开放期间有安全管理人员执勤，管理人员有健康证，水质符合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CJ 244-2007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标准。</w:t>
            </w:r>
          </w:p>
        </w:tc>
      </w:tr>
    </w:tbl>
    <w:p>
      <w:pPr>
        <w:spacing w:beforeLines="50" w:afterLines="50"/>
        <w:jc w:val="center"/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  <w:t>表A.14（续）</w:t>
      </w:r>
    </w:p>
    <w:tbl>
      <w:tblPr>
        <w:tblStyle w:val="6"/>
        <w:tblW w:w="93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80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809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内容及要求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房屋管理</w:t>
            </w:r>
          </w:p>
        </w:tc>
        <w:tc>
          <w:tcPr>
            <w:tcW w:w="8099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1、制定完善的房屋管理规定、房屋维修养护制度、小区巡检制度、房屋装饰装修管理办法、户外设置物管理规定等规章制度。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2、有年度维修养护计划。</w:t>
            </w:r>
          </w:p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3、小区主出入口设有小区平面示意图，主要路口设有路标，组团及幢、单元（门）、户门标号标志明显。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4、房屋外观完好、整沽，外墙面砖、涂料等装饰材料无脱落、无污迹。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5、楼梯、扶手、公共门窗、休闲设施等共有部分牢固、无裂缝、无破损、无明显污渍，使用安全。</w:t>
            </w:r>
          </w:p>
          <w:p>
            <w:pPr>
              <w:pStyle w:val="15"/>
              <w:numPr>
                <w:ilvl w:val="0"/>
                <w:numId w:val="0"/>
              </w:numPr>
              <w:ind w:left="418" w:hanging="417" w:hangingChars="232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6、室外招牌、广告牌、霓虹灯按规定设置，保持整洁统一美观，无安全隐患或破损。</w:t>
            </w:r>
          </w:p>
          <w:p>
            <w:pPr>
              <w:pStyle w:val="15"/>
              <w:numPr>
                <w:ilvl w:val="0"/>
                <w:numId w:val="0"/>
              </w:numPr>
              <w:ind w:left="418" w:hanging="417" w:hangingChars="232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7、对违反规划私搭乱建、擅自改变房屋用途的行为及时劝阻，并报告业主委员会和有关部门。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2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装饰装修</w:t>
            </w:r>
          </w:p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8099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1、有装饰装修管理服务制度。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2、有装饰装修管理档案。</w:t>
            </w:r>
          </w:p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3、受理业主或使用人的装饰装修申报登记，与业主或使用人、装饰装修企业（或施工队伍）签订住宅室内装饰装修管理服务协议，告知业主或使用人、装修负责人在装饰装修工程中的禁止行为和注意事项。</w:t>
            </w:r>
          </w:p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4、装饰装修期间每2日巡查1 次现场，发现业主或使用人未申报登记或者有违法违规行为的，应立即劝阻；拒不改正的，报告业主委员会及相关行政主管部门。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5、有装饰装修巡查记录，并及时归档存放。</w:t>
            </w:r>
          </w:p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6、委托清运装修垃圾的，应在指定地点临时堆放，及时清运；自行清运装修垃圾的，应采用袋装运输或密闭运输的方式清运。</w:t>
            </w:r>
          </w:p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7、对未装修的空置房，每季度进入室内巡查1次，发现异常情况应及时通知业主，并采取必要的紧急处理措施。</w:t>
            </w:r>
          </w:p>
        </w:tc>
      </w:tr>
    </w:tbl>
    <w:p>
      <w:pPr>
        <w:pStyle w:val="22"/>
        <w:spacing w:before="156" w:after="156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bookmarkStart w:id="14" w:name="_Toc424807646"/>
      <w:bookmarkStart w:id="15" w:name="_Toc427331743"/>
      <w:bookmarkStart w:id="16" w:name="_Toc426376270"/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公共秩序维护</w:t>
      </w:r>
      <w:bookmarkEnd w:id="14"/>
      <w:bookmarkEnd w:id="15"/>
      <w:bookmarkEnd w:id="16"/>
    </w:p>
    <w:p>
      <w:pPr>
        <w:ind w:firstLine="420" w:firstLineChars="200"/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应符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合表A.15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的规定。</w:t>
      </w:r>
    </w:p>
    <w:p>
      <w:pPr>
        <w:pStyle w:val="23"/>
        <w:spacing w:before="156" w:after="156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公共秩序维护内容及要求</w:t>
      </w:r>
    </w:p>
    <w:tbl>
      <w:tblPr>
        <w:tblStyle w:val="6"/>
        <w:tblW w:w="93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8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8098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内容及要求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基本要求</w:t>
            </w:r>
          </w:p>
        </w:tc>
        <w:tc>
          <w:tcPr>
            <w:tcW w:w="8098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1、秩序维护人员中55周岁以下的人员占总数的60%以上，身体健康，有较强的责任心，有较强的安全防范能力，能正确使用各类消防、物防、技防器械和设备。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2、配备对讲装置或必要的安全护卫器械。</w:t>
            </w:r>
          </w:p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3、住宅小区应具备门禁系统、监控系统、电子巡更系统、周界防范系统、可视对讲系统、室内防范报警系统、智能停车管理系统、消防自动报警系统或其他3项以上安全防范设施。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门岗</w:t>
            </w:r>
          </w:p>
        </w:tc>
        <w:tc>
          <w:tcPr>
            <w:tcW w:w="8098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1、建立健全门卫、值班、巡逻、守护制度，落实岗位职责制，人员到位，责任到位。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2、出入口有专人24小时值班，按照服务合同要求进行进出车辆管理、访客登记。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3、保障值班电话畅通，接听及时。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4、对大宗物品搬出进行核实、登记，记录规范、详实。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5、对装修及其它临时施工人员实行出入证管理，加强出入询问。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6、保持出入口环境整洁、有序，道路畅通，阻止小商小贩、可疑人员随意入内。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巡逻</w:t>
            </w:r>
          </w:p>
        </w:tc>
        <w:tc>
          <w:tcPr>
            <w:tcW w:w="8098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1、制定巡查方案，每2小时巡查1次，重点部位增加巡查频次。</w:t>
            </w:r>
          </w:p>
        </w:tc>
      </w:tr>
    </w:tbl>
    <w:p>
      <w:pPr>
        <w:spacing w:beforeLines="50" w:afterLines="50"/>
        <w:jc w:val="center"/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  <w:t>表A.15（续）</w:t>
      </w:r>
    </w:p>
    <w:tbl>
      <w:tblPr>
        <w:tblStyle w:val="6"/>
        <w:tblW w:w="93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8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8098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内容及要求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巡逻</w:t>
            </w:r>
          </w:p>
        </w:tc>
        <w:tc>
          <w:tcPr>
            <w:tcW w:w="8098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2、每天定时巡查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楼梯间等室内公共区域，保持楼梯间畅通、无擅自占用、乱堆乱放现象。</w:t>
            </w:r>
          </w:p>
          <w:p>
            <w:pPr>
              <w:pStyle w:val="15"/>
              <w:numPr>
                <w:ilvl w:val="0"/>
                <w:numId w:val="0"/>
              </w:numPr>
              <w:ind w:left="418" w:hanging="417" w:hangingChars="232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3、巡查中发现各区域内的异常情况，应立即通知有关部门并在现场采取必要措施。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监控</w:t>
            </w:r>
          </w:p>
        </w:tc>
        <w:tc>
          <w:tcPr>
            <w:tcW w:w="8098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1、设有监控室，有专人24小时值守，交接班记录规范、详实。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2、监控室收到报警信号后，秩序维护人员应按规定及时赶到现场进行处理。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3、监控的录入资料至少保持15日，有特殊要求的参照相关规定或行业标准秩序。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车辆管理</w:t>
            </w:r>
          </w:p>
        </w:tc>
        <w:tc>
          <w:tcPr>
            <w:tcW w:w="8098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1、按车辆行驶要求设立标识牌和标线，指定车辆停放区域，车位标识规范。</w:t>
            </w:r>
          </w:p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2、按照合同约定对车辆进行管理，确保车辆有序停放，消防通道中禁止停放车辆，保证消防通道的畅通，对不按规定停车的行为进行劝阻、纠正。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3、车库门禁系统、车库内照明、消防设备设施配置齐全并保持正常使用。</w:t>
            </w:r>
          </w:p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4、收取车辆泊位费的车场、车库设专人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小时值班，车辆出入记录规范、详实。</w:t>
            </w:r>
          </w:p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5、非机动车应定点停放。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紧急事故</w:t>
            </w:r>
          </w:p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防范</w:t>
            </w:r>
          </w:p>
        </w:tc>
        <w:tc>
          <w:tcPr>
            <w:tcW w:w="8098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1、对火灾、治安、公共卫生、电梯故障等突发事件及洪涝、地震等突发性自然灾害，制定应急预案，明确应急事件处理责任人。事发时及时报告业主委员会和有关部门，并协助采取相应措施。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2、对因故障导致的临时性停水、停电事故，应及时排除故障并报告业主委员会和有关部门。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每年组织至少2次应急预案演练。</w:t>
            </w:r>
          </w:p>
        </w:tc>
      </w:tr>
    </w:tbl>
    <w:p>
      <w:pPr>
        <w:pStyle w:val="22"/>
        <w:spacing w:before="156" w:after="156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bookmarkStart w:id="17" w:name="_Toc426376271"/>
      <w:bookmarkStart w:id="18" w:name="_Toc427331744"/>
      <w:bookmarkStart w:id="19" w:name="_Toc424807647"/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保洁服务</w:t>
      </w:r>
      <w:bookmarkEnd w:id="17"/>
      <w:bookmarkEnd w:id="18"/>
      <w:bookmarkEnd w:id="19"/>
    </w:p>
    <w:p>
      <w:pPr>
        <w:ind w:firstLine="420" w:firstLineChars="200"/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应符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合表A.16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的规定。</w:t>
      </w:r>
    </w:p>
    <w:p>
      <w:pPr>
        <w:pStyle w:val="23"/>
        <w:spacing w:before="156" w:after="156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保洁服务内容及要求</w:t>
      </w:r>
    </w:p>
    <w:tbl>
      <w:tblPr>
        <w:tblStyle w:val="6"/>
        <w:tblW w:w="94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81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818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内容及要求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楼内保洁</w:t>
            </w:r>
          </w:p>
        </w:tc>
        <w:tc>
          <w:tcPr>
            <w:tcW w:w="8183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1、楼层通道和楼梯台阶，每日清扫1次，地面每周湿拖1次。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2、电梯轿厢：每日擦拭1次电梯轿厢门、面板，每日清拖1次轿厢地面。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3、楼梯扶手、窗台、防火门、消火栓、指示牌、栏杆等每周清洁1次；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4、天花板、墙角、墙面、踢脚线每月清洁1次。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5、共用门窗玻璃，每半月擦拭1次，目视干净。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外围保洁</w:t>
            </w:r>
          </w:p>
        </w:tc>
        <w:tc>
          <w:tcPr>
            <w:tcW w:w="8183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1、道路：每日清扫2次，目视无明显杂物、污迹和积水；雨雪天气及时清扫主要通行道路，方便出行。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2、停车场、共用车库或车棚：每周清扫2次，目视无明显杂物、污迹和积水。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3、休闲娱乐、健身设施：每周擦拭2次。设施表面干净，地面无杂物。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4、绿化带：每2日清洁1次，秋冬季节或落叶较多季节增加清洁次数，绿化带无杂物。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5、路灯：每季度清洁1次，目视干净。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6、标识、宣传牌、信报箱、景观小品：每周清洁1次，目视干净。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7、天台、明沟、上人屋面：每月清洁1次，排水顺畅、无垃圾堆放。</w:t>
            </w:r>
          </w:p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8、水景：根据水质情况进行净化处理，使用期间每周清洁1次水面，水面无明显漂浮物，未使用时及时清洁水池池底。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9、设有公共卫生间的，每日清洁2次，</w:t>
            </w:r>
            <w:r>
              <w:rPr>
                <w:rFonts w:hint="eastAsia" w:hAnsi="宋体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每月1次对公共卫生间进行消杀。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垃圾收集</w:t>
            </w:r>
          </w:p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与处理</w:t>
            </w:r>
          </w:p>
        </w:tc>
        <w:tc>
          <w:tcPr>
            <w:tcW w:w="8183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1、生活垃圾由业主自行投放至楼栋集中投放点，垃圾日产日清，周围地面无散落垃圾。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2、建筑垃圾设置临时垃圾池，集中存放，定期外运。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3、垃圾桶每周清洁2次。</w:t>
            </w:r>
          </w:p>
        </w:tc>
      </w:tr>
    </w:tbl>
    <w:p>
      <w:pPr>
        <w:spacing w:beforeLines="50" w:afterLines="50"/>
        <w:jc w:val="center"/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  <w:t>表A.16（续）</w:t>
      </w:r>
    </w:p>
    <w:tbl>
      <w:tblPr>
        <w:tblStyle w:val="6"/>
        <w:tblW w:w="94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81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818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内容及要求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卫生消杀</w:t>
            </w:r>
          </w:p>
        </w:tc>
        <w:tc>
          <w:tcPr>
            <w:tcW w:w="8183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1、有完善的消杀灭害服务方案和管理制度。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2、针对灭蚊、蝇、蟑螂、鼠的实际需要和季节特点制定具体计划，开展卫生消杀。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投放药物位置有明显标志。</w:t>
            </w:r>
          </w:p>
        </w:tc>
      </w:tr>
    </w:tbl>
    <w:p>
      <w:pPr>
        <w:pStyle w:val="22"/>
        <w:spacing w:before="156" w:after="156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bookmarkStart w:id="20" w:name="_Toc427331745"/>
      <w:bookmarkStart w:id="21" w:name="_Toc424807648"/>
      <w:bookmarkStart w:id="22" w:name="_Toc426376272"/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绿化养护</w:t>
      </w:r>
      <w:bookmarkEnd w:id="20"/>
      <w:bookmarkEnd w:id="21"/>
      <w:bookmarkEnd w:id="22"/>
    </w:p>
    <w:p>
      <w:pPr>
        <w:ind w:firstLine="420" w:firstLineChars="200"/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应符合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表A.17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的规定。</w:t>
      </w:r>
    </w:p>
    <w:p>
      <w:pPr>
        <w:pStyle w:val="23"/>
        <w:spacing w:before="156" w:after="156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绿化养护内容及要求</w:t>
      </w:r>
    </w:p>
    <w:tbl>
      <w:tblPr>
        <w:tblStyle w:val="6"/>
        <w:tblW w:w="93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8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8098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内容及要求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5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绿化养护</w:t>
            </w:r>
          </w:p>
        </w:tc>
        <w:tc>
          <w:tcPr>
            <w:tcW w:w="8098" w:type="dxa"/>
            <w:vAlign w:val="center"/>
          </w:tcPr>
          <w:p>
            <w:pPr>
              <w:pStyle w:val="11"/>
              <w:ind w:firstLine="0" w:firstLineChars="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1、绿化养护</w:t>
            </w:r>
          </w:p>
          <w:p>
            <w:pPr>
              <w:pStyle w:val="11"/>
              <w:ind w:firstLine="36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有专业人员对住宅小区实施绿化养护管理，并做到：</w:t>
            </w:r>
          </w:p>
          <w:p>
            <w:pPr>
              <w:pStyle w:val="16"/>
              <w:numPr>
                <w:ilvl w:val="0"/>
                <w:numId w:val="0"/>
              </w:numPr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（1）对草坪、花卉、树篱、树木定期进行修剪、养护，保持观赏效果。</w:t>
            </w:r>
          </w:p>
          <w:p>
            <w:pPr>
              <w:pStyle w:val="16"/>
              <w:numPr>
                <w:ilvl w:val="0"/>
                <w:numId w:val="0"/>
              </w:numPr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（2）定期清除绿地杂草、杂物，杂草面积小于5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16"/>
              <w:numPr>
                <w:ilvl w:val="0"/>
                <w:numId w:val="0"/>
              </w:numPr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（3）有计划地进行浇灌，灌溉水下渗充足均匀，无明显旱涝情况发生。</w:t>
            </w:r>
          </w:p>
          <w:p>
            <w:pPr>
              <w:pStyle w:val="16"/>
              <w:numPr>
                <w:ilvl w:val="0"/>
                <w:numId w:val="0"/>
              </w:numPr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（4）根据植物生长情况施肥。</w:t>
            </w:r>
          </w:p>
          <w:p>
            <w:pPr>
              <w:pStyle w:val="16"/>
              <w:numPr>
                <w:ilvl w:val="0"/>
                <w:numId w:val="0"/>
              </w:numPr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（5）对花卉、草坪、绿篱、乔灌木等适时补植更新，存活率达到95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，土地裸露面积小于5%。</w:t>
            </w:r>
          </w:p>
          <w:p>
            <w:pPr>
              <w:pStyle w:val="16"/>
              <w:numPr>
                <w:ilvl w:val="0"/>
                <w:numId w:val="0"/>
              </w:numPr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（6）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适时组织防冻保暖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16"/>
              <w:numPr>
                <w:ilvl w:val="0"/>
                <w:numId w:val="0"/>
              </w:numPr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（7）定期喷洒药物，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预防病虫害</w:t>
            </w:r>
            <w:r>
              <w:rPr>
                <w:rFonts w:hint="eastAsia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16"/>
              <w:numPr>
                <w:ilvl w:val="0"/>
                <w:numId w:val="0"/>
              </w:numPr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（8）树冠整齐、树木侧枝分布基本均匀，不影响车辆行人通行，与建筑、架空线路无刮擦。</w:t>
            </w:r>
          </w:p>
          <w:p>
            <w:pPr>
              <w:pStyle w:val="16"/>
              <w:numPr>
                <w:ilvl w:val="0"/>
                <w:numId w:val="0"/>
              </w:numPr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（9）绿化作业产生的垃圾应在作业完成后6小时内清理干净。</w:t>
            </w:r>
          </w:p>
          <w:p>
            <w:pPr>
              <w:pStyle w:val="14"/>
              <w:numPr>
                <w:ilvl w:val="0"/>
                <w:numId w:val="0"/>
              </w:numPr>
              <w:spacing w:beforeLines="0" w:afterLines="0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2、环境布置</w:t>
            </w:r>
          </w:p>
          <w:p>
            <w:pPr>
              <w:pStyle w:val="15"/>
              <w:numPr>
                <w:ilvl w:val="0"/>
                <w:numId w:val="0"/>
              </w:numPr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（1）绿化总体布局合理，视觉效果良好，满足居住环境需要，无侵占现象。</w:t>
            </w:r>
          </w:p>
          <w:p>
            <w:pPr>
              <w:pStyle w:val="15"/>
              <w:numPr>
                <w:ilvl w:val="0"/>
                <w:numId w:val="0"/>
              </w:numPr>
              <w:ind w:left="418" w:leftChars="172" w:hanging="57" w:hangingChars="32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（2）绿地设施及硬质景观保持常年完好，无人为破坏现象。</w:t>
            </w:r>
          </w:p>
          <w:p>
            <w:pPr>
              <w:pStyle w:val="11"/>
              <w:ind w:firstLine="360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（3）重大节日或庆典活动，对公共区域进行花木装饰。</w:t>
            </w:r>
          </w:p>
        </w:tc>
      </w:tr>
    </w:tbl>
    <w:p>
      <w:pPr>
        <w:pStyle w:val="22"/>
        <w:spacing w:before="156" w:after="156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bookmarkStart w:id="23" w:name="_Toc426376273"/>
      <w:bookmarkStart w:id="24" w:name="_Toc424807649"/>
      <w:bookmarkStart w:id="25" w:name="_Toc427331746"/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社区文化建设</w:t>
      </w:r>
      <w:bookmarkEnd w:id="23"/>
      <w:bookmarkEnd w:id="24"/>
      <w:bookmarkEnd w:id="25"/>
    </w:p>
    <w:p>
      <w:pPr>
        <w:ind w:firstLine="420" w:firstLineChars="200"/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应符合表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A.18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的规定。</w:t>
      </w:r>
    </w:p>
    <w:p>
      <w:pPr>
        <w:pStyle w:val="23"/>
        <w:spacing w:before="156" w:after="156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社区文化建设内容及要求</w:t>
      </w:r>
    </w:p>
    <w:tbl>
      <w:tblPr>
        <w:tblStyle w:val="6"/>
        <w:tblW w:w="93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8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8098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内容及要求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1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社区文化</w:t>
            </w:r>
          </w:p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</w:tc>
        <w:tc>
          <w:tcPr>
            <w:tcW w:w="8098" w:type="dxa"/>
            <w:vAlign w:val="center"/>
          </w:tcPr>
          <w:p>
            <w:pPr>
              <w:pStyle w:val="14"/>
              <w:numPr>
                <w:ilvl w:val="0"/>
                <w:numId w:val="7"/>
              </w:numPr>
              <w:spacing w:beforeLines="0" w:afterLines="0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有管务公开栏及其它宣传栏，内容每季度更新1次。</w:t>
            </w:r>
          </w:p>
          <w:p>
            <w:pPr>
              <w:pStyle w:val="11"/>
              <w:ind w:left="210" w:hanging="210" w:hangingChars="100"/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小区宣传栏和电子屏幕宣传社会主义核心价值观“富强、民主、文明、和谐，自由、平等、公正、法治，爱国、敬业、诚信、友善”；中国梦：国家富强、民族振兴、人民幸福；志愿服务精神：奉献、友爱、互助、进步；“讲文明树新风”和学雷锋志愿服务公益等内容。</w:t>
            </w:r>
          </w:p>
          <w:p>
            <w:pPr>
              <w:pStyle w:val="14"/>
              <w:numPr>
                <w:ilvl w:val="0"/>
                <w:numId w:val="0"/>
              </w:numPr>
              <w:spacing w:beforeLines="0" w:afterLines="0"/>
              <w:ind w:left="270" w:hanging="270" w:hangingChars="150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3、每年开展精神文明宣传教育工作至少2次，内容包括科学防疫、消防安全、食品卫生、房屋及其附属设施设备使用安全、环保及法律等知识。</w:t>
            </w:r>
          </w:p>
          <w:p>
            <w:pPr>
              <w:pStyle w:val="14"/>
              <w:numPr>
                <w:ilvl w:val="0"/>
                <w:numId w:val="0"/>
              </w:numPr>
              <w:spacing w:beforeLines="0" w:afterLines="0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4、每年组织社区文化活动至少2次。</w:t>
            </w:r>
          </w:p>
          <w:p>
            <w:pPr>
              <w:pStyle w:val="14"/>
              <w:numPr>
                <w:ilvl w:val="0"/>
                <w:numId w:val="0"/>
              </w:numPr>
              <w:spacing w:beforeLines="0" w:afterLines="0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5、社区文化有活动计划、有记录、有总结，相关资料齐全。</w:t>
            </w:r>
          </w:p>
        </w:tc>
      </w:tr>
    </w:tbl>
    <w:p>
      <w:pPr>
        <w:jc w:val="center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26" w:name="_GoBack"/>
      <w:bookmarkEnd w:id="26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EastAsia" w:hAnsiTheme="minorEastAsia" w:cstheme="minorEastAsi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inorEastAsia" w:hAnsiTheme="minorEastAsia" w:cstheme="minorEastAsia"/>
                        <w:sz w:val="22"/>
                        <w:szCs w:val="22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2"/>
                        <w:szCs w:val="22"/>
                      </w:rPr>
                      <w:t>4</w:t>
                    </w:r>
                    <w:r>
                      <w:rPr>
                        <w:rFonts w:hint="eastAsia" w:asciiTheme="minorEastAsia" w:hAnsiTheme="minorEastAsia" w:cstheme="minorEastAsia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ql5uc8AAAAFAQAADwAAAAAAAAABACAAAAAi&#10;AAAAZHJzL2Rvd25yZXYueG1sUEsBAhQAFAAAAAgAh07iQMRqT0naAQAAugMAAA4AAAAAAAAAAQAg&#10;AAAAHgEAAGRycy9lMm9Eb2MueG1sUEsFBgAAAAAGAAYAWQEAAGo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2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/>
        <w:i w:val="0"/>
        <w:sz w:val="21"/>
        <w:szCs w:val="21"/>
      </w:rPr>
    </w:lvl>
    <w:lvl w:ilvl="1" w:tentative="0">
      <w:start w:val="1"/>
      <w:numFmt w:val="decimal"/>
      <w:pStyle w:val="13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4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24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2A8F7113"/>
    <w:multiLevelType w:val="multilevel"/>
    <w:tmpl w:val="2A8F7113"/>
    <w:lvl w:ilvl="0" w:tentative="0">
      <w:start w:val="1"/>
      <w:numFmt w:val="upperLetter"/>
      <w:pStyle w:val="18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2">
    <w:nsid w:val="2C5917C3"/>
    <w:multiLevelType w:val="multilevel"/>
    <w:tmpl w:val="2C5917C3"/>
    <w:lvl w:ilvl="0" w:tentative="0">
      <w:start w:val="1"/>
      <w:numFmt w:val="none"/>
      <w:pStyle w:val="16"/>
      <w:suff w:val="nothing"/>
      <w:lvlText w:val="%1——"/>
      <w:lvlJc w:val="left"/>
      <w:pPr>
        <w:ind w:left="833" w:hanging="408"/>
      </w:pPr>
      <w:rPr>
        <w:rFonts w:hint="eastAsia"/>
        <w:lang w:val="en-US"/>
      </w:rPr>
    </w:lvl>
    <w:lvl w:ilvl="1" w:tentative="0">
      <w:start w:val="1"/>
      <w:numFmt w:val="bullet"/>
      <w:pStyle w:val="25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3">
    <w:nsid w:val="44C50F90"/>
    <w:multiLevelType w:val="multilevel"/>
    <w:tmpl w:val="44C50F90"/>
    <w:lvl w:ilvl="0" w:tentative="0">
      <w:start w:val="1"/>
      <w:numFmt w:val="lowerLetter"/>
      <w:pStyle w:val="15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1" w:tentative="0">
      <w:start w:val="1"/>
      <w:numFmt w:val="decimal"/>
      <w:pStyle w:val="26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/>
        <w:b w:val="0"/>
        <w:i w:val="0"/>
        <w:sz w:val="20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4">
    <w:nsid w:val="5BE10132"/>
    <w:multiLevelType w:val="singleLevel"/>
    <w:tmpl w:val="5BE10132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60B55DC2"/>
    <w:multiLevelType w:val="multilevel"/>
    <w:tmpl w:val="60B55DC2"/>
    <w:lvl w:ilvl="0" w:tentative="0">
      <w:start w:val="1"/>
      <w:numFmt w:val="upperLetter"/>
      <w:pStyle w:val="19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23"/>
      <w:suff w:val="nothing"/>
      <w:lvlText w:val="表%1.%2　"/>
      <w:lvlJc w:val="left"/>
      <w:pPr>
        <w:ind w:left="2982" w:hanging="567"/>
      </w:pPr>
      <w:rPr>
        <w:rFonts w:hint="eastAsia"/>
        <w:b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6">
    <w:nsid w:val="657D3FBC"/>
    <w:multiLevelType w:val="multilevel"/>
    <w:tmpl w:val="657D3FBC"/>
    <w:lvl w:ilvl="0" w:tentative="0">
      <w:start w:val="1"/>
      <w:numFmt w:val="upperLetter"/>
      <w:pStyle w:val="20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/>
        <w:i w:val="0"/>
        <w:spacing w:val="0"/>
        <w:w w:val="100"/>
        <w:sz w:val="21"/>
      </w:rPr>
    </w:lvl>
    <w:lvl w:ilvl="1" w:tentative="0">
      <w:start w:val="1"/>
      <w:numFmt w:val="decimal"/>
      <w:pStyle w:val="21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2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ZDVhZjBiNDM4NDUyYTAyNTUwMmIyNzI0MDE4MTYifQ=="/>
  </w:docVars>
  <w:rsids>
    <w:rsidRoot w:val="00C754FB"/>
    <w:rsid w:val="0016598E"/>
    <w:rsid w:val="00176996"/>
    <w:rsid w:val="0022203B"/>
    <w:rsid w:val="002F67A8"/>
    <w:rsid w:val="003031CA"/>
    <w:rsid w:val="00776A77"/>
    <w:rsid w:val="00851416"/>
    <w:rsid w:val="008B4AA2"/>
    <w:rsid w:val="009976D5"/>
    <w:rsid w:val="00C754FB"/>
    <w:rsid w:val="00CE04C8"/>
    <w:rsid w:val="00CF1C1D"/>
    <w:rsid w:val="00CF2D3B"/>
    <w:rsid w:val="00D13628"/>
    <w:rsid w:val="00F960EC"/>
    <w:rsid w:val="02DE27DE"/>
    <w:rsid w:val="050959FD"/>
    <w:rsid w:val="0538315D"/>
    <w:rsid w:val="05A74EA4"/>
    <w:rsid w:val="06B35A12"/>
    <w:rsid w:val="091136E8"/>
    <w:rsid w:val="09B5788C"/>
    <w:rsid w:val="09FF62EA"/>
    <w:rsid w:val="0AD059E6"/>
    <w:rsid w:val="11CA34D9"/>
    <w:rsid w:val="120A6C3F"/>
    <w:rsid w:val="139E1366"/>
    <w:rsid w:val="15D96455"/>
    <w:rsid w:val="165B350E"/>
    <w:rsid w:val="16875C9D"/>
    <w:rsid w:val="17327BDB"/>
    <w:rsid w:val="18931342"/>
    <w:rsid w:val="18CB7C7B"/>
    <w:rsid w:val="1A390CE3"/>
    <w:rsid w:val="1A7F71A2"/>
    <w:rsid w:val="1B371BF4"/>
    <w:rsid w:val="1F222F15"/>
    <w:rsid w:val="22B44CCC"/>
    <w:rsid w:val="26427500"/>
    <w:rsid w:val="27E519D5"/>
    <w:rsid w:val="27E60824"/>
    <w:rsid w:val="285D195B"/>
    <w:rsid w:val="28FE7B43"/>
    <w:rsid w:val="29496575"/>
    <w:rsid w:val="29CC4950"/>
    <w:rsid w:val="2A1849B1"/>
    <w:rsid w:val="2C7C5A08"/>
    <w:rsid w:val="2CB5479F"/>
    <w:rsid w:val="2D187FEB"/>
    <w:rsid w:val="2E153905"/>
    <w:rsid w:val="2E912199"/>
    <w:rsid w:val="3003525B"/>
    <w:rsid w:val="32581350"/>
    <w:rsid w:val="33AD3307"/>
    <w:rsid w:val="38832576"/>
    <w:rsid w:val="3B5222F3"/>
    <w:rsid w:val="3C0E69D7"/>
    <w:rsid w:val="3CDC631F"/>
    <w:rsid w:val="3E0A29B9"/>
    <w:rsid w:val="3E252422"/>
    <w:rsid w:val="3F6D54D4"/>
    <w:rsid w:val="3FC6467C"/>
    <w:rsid w:val="40D963E9"/>
    <w:rsid w:val="417142A3"/>
    <w:rsid w:val="437E0947"/>
    <w:rsid w:val="43AC2128"/>
    <w:rsid w:val="44C50756"/>
    <w:rsid w:val="45E246E7"/>
    <w:rsid w:val="463242DE"/>
    <w:rsid w:val="46A922CF"/>
    <w:rsid w:val="472A70AA"/>
    <w:rsid w:val="47B72F9F"/>
    <w:rsid w:val="47DA780B"/>
    <w:rsid w:val="4A14792F"/>
    <w:rsid w:val="4B4715BC"/>
    <w:rsid w:val="4BC65449"/>
    <w:rsid w:val="4C180FA2"/>
    <w:rsid w:val="4CF248C0"/>
    <w:rsid w:val="4E8D5F1A"/>
    <w:rsid w:val="502E109A"/>
    <w:rsid w:val="52B63C7F"/>
    <w:rsid w:val="56405EC0"/>
    <w:rsid w:val="581F11FC"/>
    <w:rsid w:val="590D666B"/>
    <w:rsid w:val="5B447B1B"/>
    <w:rsid w:val="5D0C2DC4"/>
    <w:rsid w:val="5E32094D"/>
    <w:rsid w:val="5F9D6492"/>
    <w:rsid w:val="617558F9"/>
    <w:rsid w:val="621A312E"/>
    <w:rsid w:val="62732AC2"/>
    <w:rsid w:val="63202F9E"/>
    <w:rsid w:val="63FF0035"/>
    <w:rsid w:val="641D38E9"/>
    <w:rsid w:val="653B728C"/>
    <w:rsid w:val="65BB1C89"/>
    <w:rsid w:val="669007B3"/>
    <w:rsid w:val="675E3D68"/>
    <w:rsid w:val="68DF47CC"/>
    <w:rsid w:val="69206599"/>
    <w:rsid w:val="6B555F8E"/>
    <w:rsid w:val="6C273283"/>
    <w:rsid w:val="6C8C23BE"/>
    <w:rsid w:val="6DA56215"/>
    <w:rsid w:val="6E4D1668"/>
    <w:rsid w:val="727E4C1D"/>
    <w:rsid w:val="72B05951"/>
    <w:rsid w:val="737C7209"/>
    <w:rsid w:val="74982E2E"/>
    <w:rsid w:val="757C170A"/>
    <w:rsid w:val="76C63C97"/>
    <w:rsid w:val="774B720C"/>
    <w:rsid w:val="7AEC76C3"/>
    <w:rsid w:val="7B86474B"/>
    <w:rsid w:val="7D0041F3"/>
    <w:rsid w:val="7EFE495E"/>
    <w:rsid w:val="7F7069B9"/>
    <w:rsid w:val="7F80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tabs>
        <w:tab w:val="right" w:leader="dot" w:pos="9241"/>
      </w:tabs>
      <w:ind w:firstLine="102" w:firstLineChars="100"/>
      <w:jc w:val="left"/>
    </w:pPr>
    <w:rPr>
      <w:rFonts w:ascii="宋体"/>
      <w:szCs w:val="21"/>
    </w:rPr>
  </w:style>
  <w:style w:type="paragraph" w:styleId="3">
    <w:name w:val="footer"/>
    <w:basedOn w:val="1"/>
    <w:qFormat/>
    <w:uiPriority w:val="0"/>
    <w:pPr>
      <w:snapToGrid w:val="0"/>
      <w:ind w:right="210" w:rightChars="100"/>
      <w:jc w:val="right"/>
    </w:pPr>
    <w:rPr>
      <w:sz w:val="18"/>
      <w:szCs w:val="18"/>
    </w:rPr>
  </w:style>
  <w:style w:type="paragraph" w:styleId="4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spacing w:val="0"/>
      <w:w w:val="100"/>
      <w:szCs w:val="21"/>
      <w:u w:val="single"/>
      <w:lang w:val="zh-CN" w:eastAsia="zh-CN"/>
    </w:rPr>
  </w:style>
  <w:style w:type="paragraph" w:customStyle="1" w:styleId="10">
    <w:name w:val="目次、标准名称标题"/>
    <w:basedOn w:val="1"/>
    <w:next w:val="11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11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12">
    <w:name w:val="章标题"/>
    <w:next w:val="11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13">
    <w:name w:val="一级条标题"/>
    <w:next w:val="11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4">
    <w:name w:val="二级条标题"/>
    <w:basedOn w:val="13"/>
    <w:next w:val="11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5">
    <w:name w:val="字母编号列项（一级）"/>
    <w:qFormat/>
    <w:uiPriority w:val="0"/>
    <w:pPr>
      <w:numPr>
        <w:ilvl w:val="0"/>
        <w:numId w:val="2"/>
      </w:numPr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16">
    <w:name w:val="列项——（一级）"/>
    <w:qFormat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17">
    <w:name w:val="二级无"/>
    <w:basedOn w:val="14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8">
    <w:name w:val="附录图标号"/>
    <w:basedOn w:val="1"/>
    <w:qFormat/>
    <w:uiPriority w:val="0"/>
    <w:pPr>
      <w:keepNext/>
      <w:pageBreakBefore/>
      <w:widowControl/>
      <w:numPr>
        <w:ilvl w:val="0"/>
        <w:numId w:val="4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19">
    <w:name w:val="附录表标号"/>
    <w:basedOn w:val="1"/>
    <w:next w:val="11"/>
    <w:qFormat/>
    <w:uiPriority w:val="0"/>
    <w:pPr>
      <w:numPr>
        <w:ilvl w:val="0"/>
        <w:numId w:val="5"/>
      </w:num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20">
    <w:name w:val="附录标识"/>
    <w:basedOn w:val="1"/>
    <w:next w:val="11"/>
    <w:qFormat/>
    <w:uiPriority w:val="0"/>
    <w:pPr>
      <w:keepNext/>
      <w:widowControl/>
      <w:numPr>
        <w:ilvl w:val="0"/>
        <w:numId w:val="6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21">
    <w:name w:val="附录章标题"/>
    <w:next w:val="11"/>
    <w:qFormat/>
    <w:uiPriority w:val="0"/>
    <w:pPr>
      <w:numPr>
        <w:ilvl w:val="1"/>
        <w:numId w:val="6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szCs w:val="22"/>
      <w:lang w:val="en-US" w:eastAsia="zh-CN" w:bidi="ar-SA"/>
    </w:rPr>
  </w:style>
  <w:style w:type="paragraph" w:customStyle="1" w:styleId="22">
    <w:name w:val="附录一级条标题"/>
    <w:basedOn w:val="21"/>
    <w:next w:val="11"/>
    <w:qFormat/>
    <w:uiPriority w:val="0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23">
    <w:name w:val="附录表标题"/>
    <w:basedOn w:val="1"/>
    <w:next w:val="11"/>
    <w:qFormat/>
    <w:uiPriority w:val="0"/>
    <w:pPr>
      <w:numPr>
        <w:ilvl w:val="1"/>
        <w:numId w:val="5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24">
    <w:name w:val="三级条标题"/>
    <w:basedOn w:val="14"/>
    <w:next w:val="11"/>
    <w:qFormat/>
    <w:uiPriority w:val="0"/>
    <w:pPr>
      <w:numPr>
        <w:ilvl w:val="3"/>
      </w:numPr>
      <w:outlineLvl w:val="4"/>
    </w:pPr>
  </w:style>
  <w:style w:type="paragraph" w:customStyle="1" w:styleId="25">
    <w:name w:val="列项●（二级）"/>
    <w:qFormat/>
    <w:uiPriority w:val="0"/>
    <w:pPr>
      <w:numPr>
        <w:ilvl w:val="1"/>
        <w:numId w:val="3"/>
      </w:numPr>
      <w:tabs>
        <w:tab w:val="left" w:pos="840"/>
        <w:tab w:val="clear" w:pos="760"/>
      </w:tabs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26">
    <w:name w:val="数字编号列项（二级）"/>
    <w:qFormat/>
    <w:uiPriority w:val="0"/>
    <w:pPr>
      <w:numPr>
        <w:ilvl w:val="1"/>
        <w:numId w:val="2"/>
      </w:numPr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4888</Words>
  <Characters>4946</Characters>
  <Lines>307</Lines>
  <Paragraphs>86</Paragraphs>
  <TotalTime>30</TotalTime>
  <ScaleCrop>false</ScaleCrop>
  <LinksUpToDate>false</LinksUpToDate>
  <CharactersWithSpaces>4964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2002-01-01T00:05:00Z</cp:lastPrinted>
  <dcterms:modified xsi:type="dcterms:W3CDTF">2022-11-02T02:03:50Z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323A3EB3C0F24F67971975C147DCD600</vt:lpwstr>
  </property>
</Properties>
</file>